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87" w:rsidRPr="006E74D0" w:rsidRDefault="000B6F87">
      <w:pPr>
        <w:pBdr>
          <w:top w:val="none" w:sz="0" w:space="0" w:color="auto"/>
          <w:left w:val="none" w:sz="0" w:space="0" w:color="auto"/>
          <w:bottom w:val="none" w:sz="0" w:space="0" w:color="auto"/>
          <w:right w:val="none" w:sz="0" w:space="0" w:color="auto"/>
          <w:bar w:val="none" w:sz="0" w:color="auto"/>
        </w:pBdr>
        <w:jc w:val="center"/>
        <w:rPr>
          <w:rFonts w:ascii="Bodoni MT Black" w:hAnsi="Bodoni MT Black" w:cs="Optima ExtraBlack"/>
          <w:sz w:val="32"/>
        </w:rPr>
      </w:pPr>
      <w:r w:rsidRPr="006E74D0">
        <w:rPr>
          <w:rFonts w:ascii="Bodoni MT Black" w:hAnsi="Bodoni MT Black"/>
          <w:sz w:val="32"/>
        </w:rPr>
        <w:t xml:space="preserve">Massachusetts Alliance </w:t>
      </w:r>
      <w:proofErr w:type="gramStart"/>
      <w:r w:rsidRPr="006E74D0">
        <w:rPr>
          <w:rFonts w:ascii="Bodoni MT Black" w:hAnsi="Bodoni MT Black"/>
          <w:sz w:val="32"/>
        </w:rPr>
        <w:t>Against</w:t>
      </w:r>
      <w:proofErr w:type="gramEnd"/>
      <w:r w:rsidRPr="006E74D0">
        <w:rPr>
          <w:rFonts w:ascii="Bodoni MT Black" w:hAnsi="Bodoni MT Black"/>
          <w:sz w:val="32"/>
        </w:rPr>
        <w:t xml:space="preserve"> Predatory Lending</w:t>
      </w:r>
    </w:p>
    <w:bookmarkStart w:id="0" w:name="_GoBack"/>
    <w:bookmarkEnd w:id="0"/>
    <w:p w:rsidR="000B6F87" w:rsidRPr="006E74D0" w:rsidRDefault="00022A6C">
      <w:pPr>
        <w:pBdr>
          <w:top w:val="none" w:sz="0" w:space="0" w:color="auto"/>
          <w:left w:val="none" w:sz="0" w:space="0" w:color="auto"/>
          <w:bottom w:val="none" w:sz="0" w:space="0" w:color="auto"/>
          <w:right w:val="none" w:sz="0" w:space="0" w:color="auto"/>
          <w:bar w:val="none" w:sz="0" w:color="auto"/>
        </w:pBdr>
        <w:jc w:val="center"/>
        <w:rPr>
          <w:rFonts w:ascii="Bodoni MT Black" w:hAnsi="Bodoni MT Black"/>
        </w:rPr>
      </w:pPr>
      <w:r w:rsidRPr="006E74D0">
        <w:rPr>
          <w:rFonts w:ascii="Bodoni MT Black" w:hAnsi="Bodoni MT Black"/>
        </w:rPr>
        <w:fldChar w:fldCharType="begin"/>
      </w:r>
      <w:r w:rsidRPr="006E74D0">
        <w:rPr>
          <w:rFonts w:ascii="Bodoni MT Black" w:hAnsi="Bodoni MT Black"/>
        </w:rPr>
        <w:instrText xml:space="preserve"> HYPERLINK "http://www.maapl.info" </w:instrText>
      </w:r>
      <w:r w:rsidRPr="006E74D0">
        <w:rPr>
          <w:rFonts w:ascii="Bodoni MT Black" w:hAnsi="Bodoni MT Black"/>
        </w:rPr>
        <w:fldChar w:fldCharType="separate"/>
      </w:r>
      <w:r w:rsidR="000B6F87" w:rsidRPr="006E74D0">
        <w:rPr>
          <w:rStyle w:val="Hyperlink0"/>
          <w:rFonts w:ascii="Bodoni MT Black" w:hAnsi="Bodoni MT Black" w:cs="Optima"/>
          <w:bCs/>
          <w:iCs/>
        </w:rPr>
        <w:t>www.maapl.info</w:t>
      </w:r>
      <w:r w:rsidRPr="006E74D0">
        <w:rPr>
          <w:rStyle w:val="Hyperlink0"/>
          <w:rFonts w:ascii="Bodoni MT Black" w:hAnsi="Bodoni MT Black" w:cs="Optima"/>
          <w:bCs/>
          <w:iCs/>
        </w:rPr>
        <w:fldChar w:fldCharType="end"/>
      </w:r>
    </w:p>
    <w:p w:rsidR="000B6F87" w:rsidRDefault="000B6F87">
      <w:pPr>
        <w:pBdr>
          <w:top w:val="none" w:sz="0" w:space="0" w:color="auto"/>
          <w:left w:val="none" w:sz="0" w:space="0" w:color="auto"/>
          <w:bottom w:val="none" w:sz="0" w:space="0" w:color="auto"/>
          <w:right w:val="none" w:sz="0" w:space="0" w:color="auto"/>
          <w:bar w:val="none" w:sz="0" w:color="auto"/>
        </w:pBdr>
        <w:jc w:val="center"/>
        <w:rPr>
          <w:sz w:val="20"/>
        </w:rPr>
      </w:pPr>
    </w:p>
    <w:p w:rsidR="000B6F87" w:rsidRDefault="000B6F87">
      <w:pPr>
        <w:pBdr>
          <w:top w:val="none" w:sz="0" w:space="0" w:color="auto"/>
          <w:left w:val="none" w:sz="0" w:space="0" w:color="auto"/>
          <w:bottom w:val="none" w:sz="0" w:space="0" w:color="auto"/>
          <w:right w:val="none" w:sz="0" w:space="0" w:color="auto"/>
          <w:bar w:val="none" w:sz="0" w:color="auto"/>
        </w:pBdr>
        <w:jc w:val="center"/>
        <w:rPr>
          <w:b/>
          <w:bCs/>
          <w:smallCaps/>
          <w:sz w:val="32"/>
        </w:rPr>
      </w:pPr>
      <w:r>
        <w:rPr>
          <w:b/>
          <w:bCs/>
          <w:smallCaps/>
          <w:sz w:val="32"/>
        </w:rPr>
        <w:t xml:space="preserve">An Act to Establish Foreclosure Review Division of the Superior Court: Fact Sheet </w:t>
      </w:r>
    </w:p>
    <w:p w:rsidR="000B6F87" w:rsidRDefault="000B6F87">
      <w:pPr>
        <w:pBdr>
          <w:top w:val="none" w:sz="0" w:space="0" w:color="auto"/>
          <w:left w:val="none" w:sz="0" w:space="0" w:color="auto"/>
          <w:bottom w:val="none" w:sz="0" w:space="0" w:color="auto"/>
          <w:right w:val="none" w:sz="0" w:space="0" w:color="auto"/>
          <w:bar w:val="none" w:sz="0" w:color="auto"/>
        </w:pBdr>
        <w:jc w:val="center"/>
        <w:rPr>
          <w:b/>
          <w:bCs/>
          <w:sz w:val="20"/>
        </w:rPr>
      </w:pPr>
    </w:p>
    <w:p w:rsidR="000B6F87" w:rsidRDefault="000B6F87">
      <w:pPr>
        <w:pBdr>
          <w:top w:val="single" w:sz="4" w:space="0" w:color="000000"/>
          <w:left w:val="single" w:sz="4" w:space="0" w:color="000000"/>
          <w:bottom w:val="single" w:sz="4" w:space="0" w:color="000000"/>
          <w:right w:val="single" w:sz="4" w:space="0" w:color="000000"/>
          <w:bar w:val="none" w:sz="0" w:color="auto"/>
        </w:pBdr>
        <w:shd w:val="clear" w:color="auto" w:fill="BFBFBF"/>
        <w:jc w:val="center"/>
      </w:pPr>
      <w:r>
        <w:rPr>
          <w:b/>
          <w:bCs/>
        </w:rPr>
        <w:t xml:space="preserve">Senate </w:t>
      </w:r>
      <w:r w:rsidR="00834A0F">
        <w:rPr>
          <w:b/>
          <w:bCs/>
        </w:rPr>
        <w:t>#</w:t>
      </w:r>
      <w:r w:rsidR="004512F0">
        <w:rPr>
          <w:b/>
          <w:bCs/>
        </w:rPr>
        <w:t>871</w:t>
      </w:r>
      <w:r>
        <w:rPr>
          <w:b/>
          <w:bCs/>
        </w:rPr>
        <w:t xml:space="preserve">, Main Sponsor: </w:t>
      </w:r>
      <w:r>
        <w:t xml:space="preserve">Senator </w:t>
      </w:r>
      <w:r w:rsidR="004512F0">
        <w:t>McGee</w:t>
      </w:r>
    </w:p>
    <w:p w:rsidR="000B6F87" w:rsidRDefault="000B6F87">
      <w:pPr>
        <w:pBdr>
          <w:top w:val="single" w:sz="4" w:space="0" w:color="000000"/>
          <w:left w:val="single" w:sz="4" w:space="0" w:color="000000"/>
          <w:bottom w:val="single" w:sz="4" w:space="0" w:color="000000"/>
          <w:right w:val="single" w:sz="4" w:space="0" w:color="000000"/>
          <w:bar w:val="none" w:sz="0" w:color="auto"/>
        </w:pBdr>
        <w:shd w:val="clear" w:color="auto" w:fill="BFBFBF"/>
        <w:jc w:val="center"/>
      </w:pPr>
      <w:r>
        <w:rPr>
          <w:b/>
          <w:bCs/>
        </w:rPr>
        <w:t xml:space="preserve">House </w:t>
      </w:r>
      <w:r w:rsidR="00834A0F">
        <w:rPr>
          <w:b/>
          <w:bCs/>
        </w:rPr>
        <w:t>#</w:t>
      </w:r>
      <w:r w:rsidR="004512F0">
        <w:rPr>
          <w:b/>
          <w:bCs/>
        </w:rPr>
        <w:t>1640</w:t>
      </w:r>
      <w:r>
        <w:rPr>
          <w:b/>
          <w:bCs/>
        </w:rPr>
        <w:t xml:space="preserve">, Main Sponsor: </w:t>
      </w:r>
      <w:r>
        <w:t xml:space="preserve">Representative </w:t>
      </w:r>
      <w:r w:rsidR="004512F0">
        <w:t>Vega</w:t>
      </w:r>
    </w:p>
    <w:p w:rsidR="000B6F87" w:rsidRPr="00490DCC" w:rsidRDefault="000B6F87" w:rsidP="00A4158E">
      <w:pPr>
        <w:pStyle w:val="Body"/>
        <w:pBdr>
          <w:top w:val="none" w:sz="0" w:space="0" w:color="auto"/>
          <w:left w:val="none" w:sz="0" w:space="0" w:color="auto"/>
          <w:bottom w:val="none" w:sz="0" w:space="0" w:color="auto"/>
          <w:right w:val="none" w:sz="0" w:space="0" w:color="auto"/>
          <w:bar w:val="none" w:sz="0" w:color="auto"/>
        </w:pBdr>
        <w:rPr>
          <w:rFonts w:ascii="Arial" w:hAnsi="Arial"/>
          <w:b/>
          <w:bCs/>
          <w:sz w:val="24"/>
          <w:u w:color="000000"/>
        </w:rPr>
      </w:pPr>
    </w:p>
    <w:p w:rsidR="000B6F87" w:rsidRPr="006E74D0" w:rsidRDefault="000B6F87" w:rsidP="00A4158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auto"/>
          <w:u w:color="000000"/>
        </w:rPr>
      </w:pPr>
      <w:r w:rsidRPr="006E74D0">
        <w:rPr>
          <w:rFonts w:ascii="Times New Roman" w:hAnsi="Times New Roman" w:cs="Times New Roman"/>
          <w:b/>
          <w:bCs/>
          <w:u w:color="000000"/>
        </w:rPr>
        <w:t>Summary</w:t>
      </w:r>
    </w:p>
    <w:p w:rsidR="000B6F87" w:rsidRPr="006E74D0" w:rsidRDefault="000B6F87" w:rsidP="00A4158E">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0"/>
          <w:szCs w:val="20"/>
          <w:u w:color="000000"/>
        </w:rPr>
      </w:pPr>
      <w:r w:rsidRPr="006E74D0">
        <w:rPr>
          <w:rFonts w:ascii="Times New Roman" w:hAnsi="Times New Roman" w:cs="Times New Roman"/>
          <w:color w:val="auto"/>
          <w:sz w:val="20"/>
          <w:szCs w:val="20"/>
          <w:u w:color="000000"/>
        </w:rPr>
        <w:t xml:space="preserve">In the past 10 years Massachusetts has had more than 67,000 home foreclosures. These have cost the Commonwealth between twenty and forty </w:t>
      </w:r>
      <w:r w:rsidRPr="006E74D0">
        <w:rPr>
          <w:rFonts w:ascii="Times New Roman" w:hAnsi="Times New Roman" w:cs="Times New Roman"/>
          <w:i/>
          <w:color w:val="auto"/>
          <w:sz w:val="20"/>
          <w:szCs w:val="20"/>
        </w:rPr>
        <w:t>billion</w:t>
      </w:r>
      <w:r w:rsidRPr="006E74D0">
        <w:rPr>
          <w:rFonts w:ascii="Times New Roman" w:hAnsi="Times New Roman" w:cs="Times New Roman"/>
          <w:color w:val="auto"/>
          <w:sz w:val="20"/>
          <w:szCs w:val="20"/>
          <w:u w:color="000000"/>
        </w:rPr>
        <w:t xml:space="preserve"> dollars, most of it transferred to out-of-state banks. Many such foreclosures have been illegal and clouded title to property. Challenging them in court – and winning – will help bring those resources back to the Commonwealth. A court venue to expedite clarifying our laws and clearing titles will provide one-stop for those already foreclosed and those purchasing post-foreclosure. It will make titles marketable in a few years which slashing homeowners’ rights to sue to regain illegally take property for 20 years cannot. This will keep roofs over the heads of Massachusetts citizens and help revitalize our real estate markets. Establishing a Foreclosure Review Division within the Superior Court Department for a renewable term of 5-years to clear the backlog accomplishes those ends. A </w:t>
      </w:r>
      <w:r w:rsidRPr="006E74D0">
        <w:rPr>
          <w:rFonts w:ascii="Times New Roman" w:hAnsi="Times New Roman" w:cs="Times New Roman"/>
          <w:color w:val="auto"/>
          <w:sz w:val="20"/>
          <w:szCs w:val="20"/>
          <w:u w:val="single" w:color="000000"/>
        </w:rPr>
        <w:t>Foreclosure Review Court</w:t>
      </w:r>
      <w:r w:rsidRPr="006E74D0">
        <w:rPr>
          <w:rFonts w:ascii="Times New Roman" w:hAnsi="Times New Roman" w:cs="Times New Roman"/>
          <w:color w:val="auto"/>
          <w:sz w:val="20"/>
          <w:szCs w:val="20"/>
          <w:u w:color="000000"/>
        </w:rPr>
        <w:t xml:space="preserve"> will increase judicial efficiency and create a brighter financial future for families, communities and the Commonwealth. The need is acute. Prompt action is required. Hence, an emergency preamble is provided.</w:t>
      </w:r>
    </w:p>
    <w:p w:rsidR="000B6F87" w:rsidRPr="006E74D0" w:rsidRDefault="000B6F87">
      <w:pPr>
        <w:pBdr>
          <w:top w:val="none" w:sz="0" w:space="0" w:color="auto"/>
          <w:left w:val="none" w:sz="0" w:space="0" w:color="auto"/>
          <w:bottom w:val="none" w:sz="0" w:space="0" w:color="auto"/>
          <w:right w:val="none" w:sz="0" w:space="0" w:color="auto"/>
          <w:bar w:val="none" w:sz="0" w:color="auto"/>
        </w:pBdr>
        <w:tabs>
          <w:tab w:val="left" w:pos="4140"/>
        </w:tabs>
        <w:rPr>
          <w:rFonts w:hAnsi="Times New Roman" w:cs="Times New Roman"/>
          <w:b/>
          <w:bCs/>
          <w:color w:val="auto"/>
          <w:sz w:val="20"/>
        </w:rPr>
      </w:pPr>
      <w:r w:rsidRPr="006E74D0">
        <w:rPr>
          <w:rFonts w:hAnsi="Times New Roman" w:cs="Times New Roman"/>
          <w:color w:val="auto"/>
        </w:rPr>
        <w:tab/>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color w:val="auto"/>
          <w:sz w:val="22"/>
          <w:szCs w:val="22"/>
        </w:rPr>
      </w:pPr>
      <w:r w:rsidRPr="006E74D0">
        <w:rPr>
          <w:rFonts w:hAnsi="Times New Roman" w:cs="Times New Roman"/>
          <w:b/>
          <w:bCs/>
          <w:color w:val="auto"/>
          <w:sz w:val="22"/>
          <w:szCs w:val="22"/>
        </w:rPr>
        <w:t>What Does This Bill Do?</w:t>
      </w:r>
      <w:r w:rsidRPr="006E74D0">
        <w:rPr>
          <w:rFonts w:hAnsi="Times New Roman" w:cs="Times New Roman"/>
          <w:color w:val="auto"/>
          <w:sz w:val="22"/>
          <w:szCs w:val="22"/>
        </w:rPr>
        <w:t xml:space="preserve">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color w:val="auto"/>
          <w:sz w:val="20"/>
        </w:rPr>
        <w:t xml:space="preserve">This bill would establish a Foreclosure Review </w:t>
      </w:r>
      <w:r w:rsidRPr="006E74D0">
        <w:rPr>
          <w:rFonts w:hAnsi="Times New Roman" w:cs="Times New Roman"/>
          <w:sz w:val="20"/>
        </w:rPr>
        <w:t xml:space="preserve">Division, a new division in the Superior Court Department, with a renewable, 5 year term. The Foreclosure Review Division would have concurrent jurisdiction with the District Court, Housing Court, Land Court and Superior Court Departments in all issues concerning foreclosures of mortgages on residential property (1– 4 units) and associated issues of civil rights, real property, secured transactions (Uniform Commercial Code), securities, tenant-landlord, trust. </w:t>
      </w:r>
      <w:proofErr w:type="gramStart"/>
      <w:r w:rsidRPr="006E74D0">
        <w:rPr>
          <w:rFonts w:hAnsi="Times New Roman" w:cs="Times New Roman"/>
          <w:sz w:val="20"/>
        </w:rPr>
        <w:t>etc</w:t>
      </w:r>
      <w:proofErr w:type="gramEnd"/>
      <w:r w:rsidRPr="006E74D0">
        <w:rPr>
          <w:rFonts w:hAnsi="Times New Roman" w:cs="Times New Roman"/>
          <w:sz w:val="20"/>
        </w:rPr>
        <w:t xml:space="preserve">. The Court could also handle post-foreclosure eviction and tenancy issues, which Housing Court now handles as summary process cases, and specific foreclosure issues now in Land Court. It would provide assistance to pro se litigants and such options as mediation. The Court would have jurisdiction to determine and thus clear titles. It would facilitate restoring homes to those unjustly deprived and return clouded titles to marketability </w:t>
      </w:r>
      <w:r w:rsidRPr="006E74D0">
        <w:rPr>
          <w:rFonts w:hAnsi="Times New Roman" w:cs="Times New Roman"/>
          <w:i/>
          <w:sz w:val="20"/>
        </w:rPr>
        <w:t>not just insurability</w:t>
      </w:r>
      <w:r w:rsidRPr="006E74D0">
        <w:rPr>
          <w:rFonts w:hAnsi="Times New Roman" w:cs="Times New Roman"/>
          <w:sz w:val="20"/>
        </w:rPr>
        <w:t xml:space="preserve"> for new purchasers.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i/>
          <w:iCs/>
          <w:sz w:val="20"/>
        </w:rPr>
      </w:pPr>
      <w:r w:rsidRPr="006E74D0">
        <w:rPr>
          <w:rFonts w:hAnsi="Times New Roman" w:cs="Times New Roman"/>
          <w:b/>
          <w:bCs/>
          <w:sz w:val="20"/>
        </w:rPr>
        <w:t xml:space="preserve">Other Bills Filed: </w:t>
      </w:r>
      <w:r w:rsidRPr="006E74D0">
        <w:rPr>
          <w:rFonts w:hAnsi="Times New Roman" w:cs="Times New Roman"/>
          <w:i/>
          <w:iCs/>
          <w:sz w:val="20"/>
        </w:rPr>
        <w:t>To Facilitate Alternatives to Foreclosure; Preventing Unnecessary Vacancies of Foreclosed Homes; Judicial Foreclosure</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6E74D0">
        <w:rPr>
          <w:rFonts w:hAnsi="Times New Roman" w:cs="Times New Roman"/>
          <w:b/>
          <w:bCs/>
          <w:sz w:val="22"/>
          <w:szCs w:val="22"/>
        </w:rPr>
        <w:t xml:space="preserve">How Will the Foreclosure Review Court Work?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The Chief Justice of the Trial Court, in consultation with the Chief Justice for the Superior Court Department, would assign a Presiding Justice and other justices of the Foreclosure Review Division from among various trial court departments from among justices who have an interest in relevant areas of law. These justices would sit in four to six sessions around the state. Foreclosures now occur in every area of Massachusetts. The justices would therefore travel as caseload required.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Cases within its jurisdiction could be filed initially in the Foreclosure Review Court, or transferred there by any party to an appropriate civil action in any other court. A justice of another court department or another division of Superior Court could also transfer a case to the Foreclosure Review Court </w:t>
      </w:r>
      <w:proofErr w:type="spellStart"/>
      <w:r w:rsidRPr="006E74D0">
        <w:rPr>
          <w:rFonts w:hAnsi="Times New Roman" w:cs="Times New Roman"/>
          <w:i/>
          <w:iCs/>
          <w:sz w:val="20"/>
        </w:rPr>
        <w:t>sua</w:t>
      </w:r>
      <w:proofErr w:type="spellEnd"/>
      <w:r w:rsidRPr="006E74D0">
        <w:rPr>
          <w:rFonts w:hAnsi="Times New Roman" w:cs="Times New Roman"/>
          <w:i/>
          <w:iCs/>
          <w:sz w:val="20"/>
        </w:rPr>
        <w:t xml:space="preserve"> </w:t>
      </w:r>
      <w:proofErr w:type="spellStart"/>
      <w:r w:rsidRPr="006E74D0">
        <w:rPr>
          <w:rFonts w:hAnsi="Times New Roman" w:cs="Times New Roman"/>
          <w:i/>
          <w:iCs/>
          <w:sz w:val="20"/>
        </w:rPr>
        <w:t>sponte</w:t>
      </w:r>
      <w:proofErr w:type="spellEnd"/>
      <w:r w:rsidRPr="006E74D0">
        <w:rPr>
          <w:rFonts w:hAnsi="Times New Roman" w:cs="Times New Roman"/>
          <w:sz w:val="20"/>
        </w:rPr>
        <w:t xml:space="preserve">. In either case, there would be no additional filing fee.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6E74D0">
        <w:rPr>
          <w:rFonts w:hAnsi="Times New Roman" w:cs="Times New Roman"/>
          <w:b/>
          <w:bCs/>
          <w:sz w:val="22"/>
          <w:szCs w:val="22"/>
        </w:rPr>
        <w:t>The Commonwealth needs a single, statewide venue to handle foreclosure-related cases.</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Most Massachusetts foreclosures are by sale. After Land Court determines that the federal Service Members’ Civil Relief Act does not protect a given mortgagor, a foreclosing party advertises and forecloses by sale. A foreclosing party then may sue in Housing Court to evict occupants. They may then challenge the foreclosing party’s authority to foreclose. Any court challenge thus usually follows – rather than </w:t>
      </w:r>
      <w:proofErr w:type="spellStart"/>
      <w:r w:rsidRPr="006E74D0">
        <w:rPr>
          <w:rFonts w:hAnsi="Times New Roman" w:cs="Times New Roman"/>
          <w:sz w:val="20"/>
        </w:rPr>
        <w:t>preceeds</w:t>
      </w:r>
      <w:proofErr w:type="spellEnd"/>
      <w:r w:rsidRPr="006E74D0">
        <w:rPr>
          <w:rFonts w:hAnsi="Times New Roman" w:cs="Times New Roman"/>
          <w:sz w:val="20"/>
        </w:rPr>
        <w:t xml:space="preserve"> – a foreclosure.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color w:val="auto"/>
          <w:sz w:val="20"/>
        </w:rPr>
        <w:t>Since 2005,</w:t>
      </w:r>
      <w:r w:rsidRPr="006E74D0">
        <w:rPr>
          <w:rFonts w:hAnsi="Times New Roman" w:cs="Times New Roman"/>
          <w:sz w:val="20"/>
        </w:rPr>
        <w:t xml:space="preserve"> the Commonwealth has had some 67,000+ foreclosures. For reasons including predatory lending to minorities and women, courts that once looked only at a mortgagor’s failure to pay now tackle complex issues including whether the foreclosing party had authority to foreclose. Since summer 2011, the SJC of its own volition has been taking cases directly off the appeals docket in an attempt to clarify this area of law. In response, the number of foreclosure-related cases in our courts is rising. There may well be thousands of additional such cases filed.</w:t>
      </w:r>
    </w:p>
    <w:p w:rsidR="000B6F87" w:rsidRPr="006E74D0" w:rsidRDefault="000B6F87">
      <w:pPr>
        <w:numPr>
          <w:ilvl w:val="0"/>
          <w:numId w:val="2"/>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hAnsi="Times New Roman" w:cs="Times New Roman"/>
          <w:position w:val="-2"/>
        </w:rPr>
      </w:pPr>
      <w:r w:rsidRPr="006E74D0">
        <w:rPr>
          <w:rFonts w:hAnsi="Times New Roman" w:cs="Times New Roman"/>
          <w:sz w:val="20"/>
          <w:u w:val="single"/>
        </w:rPr>
        <w:lastRenderedPageBreak/>
        <w:t>Fragmentation of relevant court jurisdictions</w:t>
      </w:r>
      <w:r w:rsidRPr="006E74D0">
        <w:rPr>
          <w:rFonts w:hAnsi="Times New Roman" w:cs="Times New Roman"/>
          <w:sz w:val="20"/>
        </w:rPr>
        <w:t>:  To obtain an adjudication of all relevant aspects of a foreclosure, a homeowner might now have to file actions in from two (2) to five (5) courts. This wastes judicial resources; discourages lawyers from taking these cases; and stresses Legal Services resources. It is costly in time, travel, and filing fees.</w:t>
      </w:r>
    </w:p>
    <w:p w:rsidR="000B6F87" w:rsidRPr="006E74D0" w:rsidRDefault="000B6F87">
      <w:pPr>
        <w:numPr>
          <w:ilvl w:val="0"/>
          <w:numId w:val="3"/>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hAnsi="Times New Roman" w:cs="Times New Roman"/>
          <w:position w:val="-2"/>
        </w:rPr>
      </w:pPr>
      <w:r w:rsidRPr="006E74D0">
        <w:rPr>
          <w:rFonts w:hAnsi="Times New Roman" w:cs="Times New Roman"/>
          <w:sz w:val="20"/>
          <w:u w:val="single"/>
        </w:rPr>
        <w:t xml:space="preserve">Location of Land Court: </w:t>
      </w:r>
      <w:r w:rsidRPr="006E74D0">
        <w:rPr>
          <w:rFonts w:hAnsi="Times New Roman" w:cs="Times New Roman"/>
          <w:sz w:val="20"/>
        </w:rPr>
        <w:t>Although it may schedule sessions elsewhere, Land Court sits in Boston. The burden to those elsewhere who may need to bring or defend a foreclosure-related case in Land Court is obvious.</w:t>
      </w:r>
    </w:p>
    <w:p w:rsidR="000B6F87" w:rsidRPr="006E74D0" w:rsidRDefault="000B6F87">
      <w:pPr>
        <w:numPr>
          <w:ilvl w:val="0"/>
          <w:numId w:val="4"/>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hAnsi="Times New Roman" w:cs="Times New Roman"/>
          <w:position w:val="-2"/>
        </w:rPr>
      </w:pPr>
      <w:r w:rsidRPr="006E74D0">
        <w:rPr>
          <w:rFonts w:hAnsi="Times New Roman" w:cs="Times New Roman"/>
          <w:sz w:val="20"/>
          <w:u w:val="single"/>
        </w:rPr>
        <w:t>Rapidly but inconsistently developing case law:</w:t>
      </w:r>
      <w:r w:rsidRPr="006E74D0">
        <w:rPr>
          <w:rFonts w:hAnsi="Times New Roman" w:cs="Times New Roman"/>
          <w:sz w:val="20"/>
        </w:rPr>
        <w:t xml:space="preserve"> At present, a court may hold that a homeowner should have raised a given issue in a different court that now allows it, regardless that the other court previously regarded the issue as beyond its jurisdiction. Not all foreclosure-related decisions are published. This can easily result in injustice; in inconsistency among courts, and in appeals that never should need to be brought.</w:t>
      </w:r>
    </w:p>
    <w:p w:rsidR="000B6F87" w:rsidRPr="006E74D0" w:rsidRDefault="000B6F87">
      <w:pPr>
        <w:numPr>
          <w:ilvl w:val="0"/>
          <w:numId w:val="5"/>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hAnsi="Times New Roman" w:cs="Times New Roman"/>
          <w:position w:val="-2"/>
        </w:rPr>
      </w:pPr>
      <w:r w:rsidRPr="006E74D0">
        <w:rPr>
          <w:rFonts w:hAnsi="Times New Roman" w:cs="Times New Roman"/>
          <w:sz w:val="20"/>
          <w:u w:val="single"/>
        </w:rPr>
        <w:t>Housing Court is swamped</w:t>
      </w:r>
      <w:r w:rsidRPr="006E74D0">
        <w:rPr>
          <w:rFonts w:hAnsi="Times New Roman" w:cs="Times New Roman"/>
          <w:sz w:val="20"/>
        </w:rPr>
        <w:t xml:space="preserve">: Housing Court was designed as a summary process venue. A critical strength is its assistance to pro se litigants to argue their own cases. The number of post-foreclosure cases, e.g., for a homeowner’s post-foreclosure eviction or for tenants affected by foreclosure, now overwhelms this Court. In particular, title-related aspects can be challenging: these can be based on Massachusetts land law precedent from the 1800s or even before. </w:t>
      </w:r>
    </w:p>
    <w:p w:rsidR="000B6F87" w:rsidRPr="006E74D0" w:rsidRDefault="000B6F87">
      <w:pPr>
        <w:numPr>
          <w:ilvl w:val="0"/>
          <w:numId w:val="6"/>
        </w:numPr>
        <w:pBdr>
          <w:top w:val="none" w:sz="0" w:space="0" w:color="auto"/>
          <w:left w:val="none" w:sz="0" w:space="0" w:color="auto"/>
          <w:bottom w:val="none" w:sz="0" w:space="0" w:color="auto"/>
          <w:right w:val="none" w:sz="0" w:space="0" w:color="auto"/>
          <w:bar w:val="none" w:sz="0" w:color="auto"/>
        </w:pBdr>
        <w:tabs>
          <w:tab w:val="num" w:pos="196"/>
        </w:tabs>
        <w:ind w:left="196" w:hanging="196"/>
        <w:rPr>
          <w:rFonts w:hAnsi="Times New Roman" w:cs="Times New Roman"/>
          <w:position w:val="-2"/>
        </w:rPr>
      </w:pPr>
      <w:r w:rsidRPr="006E74D0">
        <w:rPr>
          <w:rFonts w:hAnsi="Times New Roman" w:cs="Times New Roman"/>
          <w:sz w:val="20"/>
          <w:u w:val="single"/>
        </w:rPr>
        <w:t>Land Court and Superior Court are unprepared to accommodate pro se litigants</w:t>
      </w:r>
      <w:r w:rsidRPr="006E74D0">
        <w:rPr>
          <w:rFonts w:hAnsi="Times New Roman" w:cs="Times New Roman"/>
          <w:sz w:val="20"/>
        </w:rPr>
        <w:t xml:space="preserve">: erecting a nearly insurmountable bar to effective pro se representation. Yet, suing </w:t>
      </w:r>
      <w:proofErr w:type="spellStart"/>
      <w:r w:rsidRPr="006E74D0">
        <w:rPr>
          <w:rFonts w:hAnsi="Times New Roman" w:cs="Times New Roman"/>
          <w:sz w:val="20"/>
        </w:rPr>
        <w:t>pro se</w:t>
      </w:r>
      <w:proofErr w:type="spellEnd"/>
      <w:r w:rsidRPr="006E74D0">
        <w:rPr>
          <w:rFonts w:hAnsi="Times New Roman" w:cs="Times New Roman"/>
          <w:sz w:val="20"/>
        </w:rPr>
        <w:t xml:space="preserve"> is the only option for most foreclosed homeowners.</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6E74D0">
        <w:rPr>
          <w:rFonts w:hAnsi="Times New Roman" w:cs="Times New Roman"/>
          <w:b/>
          <w:bCs/>
          <w:sz w:val="22"/>
          <w:szCs w:val="22"/>
        </w:rPr>
        <w:t xml:space="preserve">How Will This Bill Help?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This bill will allow a single court to decide all aspects of a foreclosure case. It will provide assistance to pro se litigants. It will thus increase judicial efficiency; promote fairness to litigants; and facilitate effective pro se representation.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The integrity of title to land is fundamental to any state’s economic well being. As of 2000, up to 70% of the credit that new U.S. businesses received came from using formal titles as collateral for mortgages (Hernando de Soto, </w:t>
      </w:r>
      <w:r w:rsidRPr="006E74D0">
        <w:rPr>
          <w:rFonts w:hAnsi="Times New Roman" w:cs="Times New Roman"/>
          <w:i/>
          <w:iCs/>
          <w:sz w:val="20"/>
        </w:rPr>
        <w:t xml:space="preserve">The Mystery of Capital: Why Capitalism Triumphs in the West and Fails Everywhere Else </w:t>
      </w:r>
      <w:r w:rsidRPr="006E74D0">
        <w:rPr>
          <w:rFonts w:hAnsi="Times New Roman" w:cs="Times New Roman"/>
          <w:sz w:val="20"/>
        </w:rPr>
        <w:t xml:space="preserve">(Basic Books: 2000), p84). Yet, title </w:t>
      </w:r>
      <w:proofErr w:type="gramStart"/>
      <w:r w:rsidRPr="006E74D0">
        <w:rPr>
          <w:rFonts w:hAnsi="Times New Roman" w:cs="Times New Roman"/>
          <w:sz w:val="20"/>
        </w:rPr>
        <w:t>to</w:t>
      </w:r>
      <w:proofErr w:type="gramEnd"/>
      <w:r w:rsidRPr="006E74D0">
        <w:rPr>
          <w:rFonts w:hAnsi="Times New Roman" w:cs="Times New Roman"/>
          <w:sz w:val="20"/>
        </w:rPr>
        <w:t xml:space="preserve"> much real property in Massachusetts is no longer marketable. The SJC’s decision in </w:t>
      </w:r>
      <w:r w:rsidRPr="006E74D0">
        <w:rPr>
          <w:rFonts w:hAnsi="Times New Roman" w:cs="Times New Roman"/>
          <w:i/>
          <w:iCs/>
          <w:sz w:val="20"/>
        </w:rPr>
        <w:t xml:space="preserve">U.S. Bank Nat’l </w:t>
      </w:r>
      <w:proofErr w:type="spellStart"/>
      <w:r w:rsidRPr="006E74D0">
        <w:rPr>
          <w:rFonts w:hAnsi="Times New Roman" w:cs="Times New Roman"/>
          <w:i/>
          <w:iCs/>
          <w:sz w:val="20"/>
        </w:rPr>
        <w:t>Ass’n</w:t>
      </w:r>
      <w:proofErr w:type="spellEnd"/>
      <w:r w:rsidRPr="006E74D0">
        <w:rPr>
          <w:rFonts w:hAnsi="Times New Roman" w:cs="Times New Roman"/>
          <w:i/>
          <w:iCs/>
          <w:sz w:val="20"/>
        </w:rPr>
        <w:t>, trustee, v.</w:t>
      </w:r>
      <w:r w:rsidRPr="006E74D0">
        <w:rPr>
          <w:rFonts w:hAnsi="Times New Roman" w:cs="Times New Roman"/>
          <w:sz w:val="20"/>
        </w:rPr>
        <w:t xml:space="preserve"> </w:t>
      </w:r>
      <w:r w:rsidRPr="006E74D0">
        <w:rPr>
          <w:rFonts w:hAnsi="Times New Roman" w:cs="Times New Roman"/>
          <w:i/>
          <w:iCs/>
          <w:sz w:val="20"/>
        </w:rPr>
        <w:t xml:space="preserve">Ibanez, </w:t>
      </w:r>
      <w:r w:rsidRPr="006E74D0">
        <w:rPr>
          <w:rFonts w:hAnsi="Times New Roman" w:cs="Times New Roman"/>
          <w:sz w:val="20"/>
        </w:rPr>
        <w:t>458 Mass. 637</w:t>
      </w:r>
      <w:r w:rsidRPr="006E74D0">
        <w:rPr>
          <w:rFonts w:hAnsi="Times New Roman" w:cs="Times New Roman"/>
          <w:i/>
          <w:iCs/>
          <w:sz w:val="20"/>
        </w:rPr>
        <w:t xml:space="preserve"> </w:t>
      </w:r>
      <w:r w:rsidRPr="006E74D0">
        <w:rPr>
          <w:rFonts w:hAnsi="Times New Roman" w:cs="Times New Roman"/>
          <w:sz w:val="20"/>
        </w:rPr>
        <w:t xml:space="preserve">(2011) exposed problems of broken chain of title such as affect thousands of mortgages, foreclosed or not. Unless the Commonwealth repairs these records, homeowners will face these problems for the next half-century.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2"/>
        </w:rPr>
      </w:pPr>
      <w:r w:rsidRPr="006E74D0">
        <w:rPr>
          <w:rFonts w:hAnsi="Times New Roman" w:cs="Times New Roman"/>
          <w:sz w:val="20"/>
        </w:rPr>
        <w:t>For those who are foreclosed, such title issues are current and acute. They pose a risk for post-foreclosure purchasers. A single, statewide venue that can clear title to foreclosed residential properties will help obviate these problems.</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2"/>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proofErr w:type="gramStart"/>
      <w:r w:rsidRPr="006E74D0">
        <w:rPr>
          <w:rFonts w:hAnsi="Times New Roman" w:cs="Times New Roman"/>
          <w:b/>
          <w:bCs/>
          <w:sz w:val="22"/>
          <w:szCs w:val="22"/>
        </w:rPr>
        <w:t>Any Evidence/History that this will help?</w:t>
      </w:r>
      <w:proofErr w:type="gramEnd"/>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The establishment of Housing Court relieved other courts of the press of summary cases such as evictions.</w:t>
      </w:r>
      <w:r w:rsidRPr="006E74D0">
        <w:rPr>
          <w:rFonts w:hAnsi="Times New Roman" w:cs="Times New Roman"/>
          <w:i/>
          <w:iCs/>
          <w:sz w:val="20"/>
        </w:rPr>
        <w:t xml:space="preserve"> </w:t>
      </w:r>
      <w:r w:rsidRPr="006E74D0">
        <w:rPr>
          <w:rFonts w:hAnsi="Times New Roman" w:cs="Times New Roman"/>
          <w:sz w:val="20"/>
        </w:rPr>
        <w:t>The federal Temporary Emergency Court of Appeals (1971–1993), efficiently resolved appeals concerning the Nixon-era oil price controls, and saved other Circuit Courts of Appeal from having to deal with them</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6E74D0">
        <w:rPr>
          <w:rFonts w:hAnsi="Times New Roman" w:cs="Times New Roman"/>
          <w:b/>
          <w:bCs/>
          <w:sz w:val="22"/>
          <w:szCs w:val="22"/>
        </w:rPr>
        <w:t>Answers for any issues or concerns of opposition?</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No statute can clear the various illegalities that </w:t>
      </w:r>
      <w:r w:rsidRPr="006E74D0">
        <w:rPr>
          <w:rFonts w:hAnsi="Times New Roman" w:cs="Times New Roman"/>
          <w:color w:val="auto"/>
          <w:sz w:val="20"/>
        </w:rPr>
        <w:t>may “cloud” a given title. Only a record of the facts concerning a title, and a judicial determination based on them, clear the title for the future</w:t>
      </w:r>
      <w:r w:rsidRPr="006E74D0">
        <w:rPr>
          <w:rFonts w:hAnsi="Times New Roman" w:cs="Times New Roman"/>
          <w:color w:val="FF2C21"/>
          <w:sz w:val="20"/>
        </w:rPr>
        <w:t xml:space="preserve"> </w:t>
      </w:r>
      <w:r w:rsidRPr="006E74D0">
        <w:rPr>
          <w:rFonts w:hAnsi="Times New Roman" w:cs="Times New Roman"/>
          <w:sz w:val="20"/>
        </w:rPr>
        <w:t xml:space="preserve">and restore it to marketability.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b/>
          <w:bCs/>
          <w:sz w:val="22"/>
          <w:szCs w:val="22"/>
        </w:rPr>
      </w:pPr>
      <w:r w:rsidRPr="006E74D0">
        <w:rPr>
          <w:rFonts w:hAnsi="Times New Roman" w:cs="Times New Roman"/>
          <w:b/>
          <w:bCs/>
          <w:sz w:val="22"/>
          <w:szCs w:val="22"/>
        </w:rPr>
        <w:t xml:space="preserve">Will this Bill cost or save the Commonwealth money? </w:t>
      </w:r>
    </w:p>
    <w:p w:rsidR="000B6F87" w:rsidRPr="006E74D0"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sz w:val="20"/>
        </w:rPr>
      </w:pPr>
      <w:r w:rsidRPr="006E74D0">
        <w:rPr>
          <w:rFonts w:hAnsi="Times New Roman" w:cs="Times New Roman"/>
          <w:sz w:val="20"/>
        </w:rPr>
        <w:t xml:space="preserve">While setting up and operating a Foreclosure Review Court Division will cost, the 67,000+ foreclosures have cost the state </w:t>
      </w:r>
      <w:proofErr w:type="gramStart"/>
      <w:r w:rsidRPr="006E74D0">
        <w:rPr>
          <w:rFonts w:hAnsi="Times New Roman" w:cs="Times New Roman"/>
          <w:sz w:val="20"/>
        </w:rPr>
        <w:t>between $20-$40 billion,</w:t>
      </w:r>
      <w:proofErr w:type="gramEnd"/>
      <w:r w:rsidRPr="006E74D0">
        <w:rPr>
          <w:rFonts w:hAnsi="Times New Roman" w:cs="Times New Roman"/>
          <w:sz w:val="20"/>
        </w:rPr>
        <w:t xml:space="preserve"> much of which such a Court would help to recover. Please also see Summary, above. </w:t>
      </w:r>
    </w:p>
    <w:p w:rsidR="000B6F87" w:rsidRDefault="000B6F87">
      <w:pPr>
        <w:pBdr>
          <w:top w:val="none" w:sz="0" w:space="0" w:color="auto"/>
          <w:left w:val="none" w:sz="0" w:space="0" w:color="auto"/>
          <w:bottom w:val="none" w:sz="0" w:space="0" w:color="auto"/>
          <w:right w:val="none" w:sz="0" w:space="0" w:color="auto"/>
          <w:bar w:val="none" w:sz="0" w:color="auto"/>
        </w:pBdr>
        <w:rPr>
          <w:i/>
          <w:iCs/>
          <w:sz w:val="16"/>
        </w:rPr>
      </w:pPr>
    </w:p>
    <w:p w:rsidR="000B6F87" w:rsidRDefault="00022A6C" w:rsidP="00490DCC">
      <w:pPr>
        <w:pBdr>
          <w:top w:val="none" w:sz="0" w:space="0" w:color="auto"/>
          <w:left w:val="none" w:sz="0" w:space="0" w:color="auto"/>
          <w:bottom w:val="none" w:sz="0" w:space="0" w:color="auto"/>
          <w:right w:val="none" w:sz="0" w:space="0" w:color="auto"/>
          <w:bar w:val="none" w:sz="0" w:color="auto"/>
        </w:pBdr>
        <w:jc w:val="center"/>
        <w:rPr>
          <w:i/>
          <w:iCs/>
          <w:sz w:val="21"/>
        </w:rPr>
      </w:pPr>
      <w:hyperlink r:id="rId8" w:history="1">
        <w:proofErr w:type="gramStart"/>
        <w:r w:rsidR="000B6F87">
          <w:rPr>
            <w:rStyle w:val="Hyperlink1"/>
            <w:iCs/>
          </w:rPr>
          <w:t>maaplinfo@yahoo.com</w:t>
        </w:r>
      </w:hyperlink>
      <w:r w:rsidR="000B6F87">
        <w:rPr>
          <w:i/>
          <w:iCs/>
          <w:sz w:val="21"/>
        </w:rPr>
        <w:tab/>
      </w:r>
      <w:r w:rsidR="000B6F87">
        <w:rPr>
          <w:i/>
          <w:iCs/>
          <w:sz w:val="21"/>
        </w:rPr>
        <w:tab/>
      </w:r>
      <w:hyperlink r:id="rId9" w:history="1">
        <w:r w:rsidR="000B6F87">
          <w:rPr>
            <w:rStyle w:val="Hyperlink2"/>
            <w:iCs/>
          </w:rPr>
          <w:t>www.MAAPL.info</w:t>
        </w:r>
      </w:hyperlink>
      <w:r w:rsidR="000B6F87">
        <w:rPr>
          <w:i/>
          <w:iCs/>
          <w:sz w:val="21"/>
        </w:rPr>
        <w:t>.</w:t>
      </w:r>
      <w:proofErr w:type="gramEnd"/>
    </w:p>
    <w:p w:rsidR="000B6F87" w:rsidRDefault="000B6F87">
      <w:pPr>
        <w:pBdr>
          <w:top w:val="none" w:sz="0" w:space="0" w:color="auto"/>
          <w:left w:val="none" w:sz="0" w:space="0" w:color="auto"/>
          <w:bottom w:val="none" w:sz="0" w:space="0" w:color="auto"/>
          <w:right w:val="none" w:sz="0" w:space="0" w:color="auto"/>
          <w:bar w:val="none" w:sz="0" w:color="auto"/>
        </w:pBdr>
        <w:jc w:val="center"/>
        <w:rPr>
          <w:i/>
          <w:iCs/>
          <w:sz w:val="21"/>
        </w:rPr>
      </w:pPr>
      <w:r>
        <w:rPr>
          <w:i/>
          <w:iCs/>
          <w:sz w:val="21"/>
        </w:rPr>
        <w:t>Legislative Contact: Grace Ross, 617-291-5591</w:t>
      </w:r>
    </w:p>
    <w:p w:rsidR="000B6F87" w:rsidRPr="00920C2A" w:rsidRDefault="000B6F87">
      <w:pPr>
        <w:pBdr>
          <w:top w:val="none" w:sz="0" w:space="0" w:color="auto"/>
          <w:left w:val="none" w:sz="0" w:space="0" w:color="auto"/>
          <w:bottom w:val="none" w:sz="0" w:space="0" w:color="auto"/>
          <w:right w:val="none" w:sz="0" w:space="0" w:color="auto"/>
          <w:bar w:val="none" w:sz="0" w:color="auto"/>
        </w:pBdr>
        <w:jc w:val="center"/>
        <w:rPr>
          <w:i/>
          <w:iCs/>
          <w:sz w:val="16"/>
        </w:rPr>
      </w:pPr>
    </w:p>
    <w:p w:rsidR="000B6F87" w:rsidRDefault="000B6F87">
      <w:pPr>
        <w:pBdr>
          <w:top w:val="none" w:sz="0" w:space="0" w:color="auto"/>
          <w:left w:val="none" w:sz="0" w:space="0" w:color="auto"/>
          <w:bottom w:val="none" w:sz="0" w:space="0" w:color="auto"/>
          <w:right w:val="none" w:sz="0" w:space="0" w:color="auto"/>
          <w:bar w:val="none" w:sz="0" w:color="auto"/>
        </w:pBdr>
        <w:jc w:val="center"/>
        <w:rPr>
          <w:i/>
          <w:iCs/>
          <w:sz w:val="10"/>
        </w:rPr>
      </w:pPr>
    </w:p>
    <w:p w:rsidR="000B6F87" w:rsidRPr="00920C2A" w:rsidRDefault="000B6F87">
      <w:pPr>
        <w:pBdr>
          <w:top w:val="none" w:sz="0" w:space="0" w:color="auto"/>
          <w:left w:val="none" w:sz="0" w:space="0" w:color="auto"/>
          <w:bottom w:val="none" w:sz="0" w:space="0" w:color="auto"/>
          <w:right w:val="none" w:sz="0" w:space="0" w:color="auto"/>
          <w:bar w:val="none" w:sz="0" w:color="auto"/>
        </w:pBdr>
        <w:rPr>
          <w:rFonts w:hAnsi="Times New Roman" w:cs="Times New Roman"/>
        </w:rPr>
      </w:pPr>
      <w:r>
        <w:rPr>
          <w:b/>
          <w:bCs/>
          <w:i/>
          <w:iCs/>
          <w:smallCaps/>
          <w:sz w:val="18"/>
        </w:rPr>
        <w:t>MAAPL</w:t>
      </w:r>
      <w:r>
        <w:rPr>
          <w:i/>
          <w:iCs/>
          <w:smallCaps/>
          <w:sz w:val="18"/>
        </w:rPr>
        <w:t xml:space="preserve"> </w:t>
      </w:r>
      <w:r>
        <w:rPr>
          <w:b/>
          <w:bCs/>
          <w:i/>
          <w:iCs/>
          <w:smallCaps/>
          <w:sz w:val="18"/>
        </w:rPr>
        <w:t>Members/Supporting Organizations</w:t>
      </w:r>
      <w:r>
        <w:rPr>
          <w:i/>
          <w:iCs/>
          <w:sz w:val="18"/>
        </w:rPr>
        <w:t xml:space="preserve">: </w:t>
      </w:r>
      <w:r w:rsidRPr="00920C2A">
        <w:rPr>
          <w:rFonts w:hAnsi="Times New Roman" w:cs="Times New Roman"/>
          <w:i/>
          <w:iCs/>
          <w:sz w:val="16"/>
        </w:rPr>
        <w:t xml:space="preserve">Action for Boston Community Development, Inc., Action for Regional Equity, Alliance of Providers of Legal Services to Individuals Facing Foreclosure, ARISE for Social Justice, Arlington Community </w:t>
      </w:r>
      <w:proofErr w:type="spellStart"/>
      <w:r w:rsidRPr="00920C2A">
        <w:rPr>
          <w:rFonts w:hAnsi="Times New Roman" w:cs="Times New Roman"/>
          <w:i/>
          <w:iCs/>
          <w:sz w:val="16"/>
        </w:rPr>
        <w:t>Trabajando</w:t>
      </w:r>
      <w:proofErr w:type="spellEnd"/>
      <w:r w:rsidRPr="00920C2A">
        <w:rPr>
          <w:rFonts w:hAnsi="Times New Roman" w:cs="Times New Roman"/>
          <w:i/>
          <w:iCs/>
          <w:sz w:val="16"/>
        </w:rPr>
        <w:t xml:space="preserve">, Boston Tenants Coalition, Brazilian Women's Group, Brockton Interfaith Community, Carpenters Local 40, Carpenters Local 107, Charles Hamilton Houston Institute For Race &amp; Justice, Chelsea Collaborative, Chinese Progressive Association, City Life/Vida Urbana, Coalition for Social Justice, Community Economic Development </w:t>
      </w:r>
      <w:proofErr w:type="spellStart"/>
      <w:r w:rsidRPr="00920C2A">
        <w:rPr>
          <w:rFonts w:hAnsi="Times New Roman" w:cs="Times New Roman"/>
          <w:i/>
          <w:iCs/>
          <w:sz w:val="16"/>
        </w:rPr>
        <w:t>Ctr</w:t>
      </w:r>
      <w:proofErr w:type="spellEnd"/>
      <w:r w:rsidRPr="00920C2A">
        <w:rPr>
          <w:rFonts w:hAnsi="Times New Roman" w:cs="Times New Roman"/>
          <w:i/>
          <w:iCs/>
          <w:sz w:val="16"/>
        </w:rPr>
        <w:t xml:space="preserve"> of S.E. MA, Community Labor United, Democratic Socialists of America, Dorchester People for Peace, Era Key Realty Services, ESAC, Fair Housing Center of Greater Boston, Greater Boston Legal Services, Greater Four Corners Action Coalition, Green-Rainbow Party of MA, Harvard Legal Aid Bureau, Homeowner Options for MA Elders, Jewish Alliance for Law and Social Action, Lawrence Community Works, Lawyers' Committee for Civil Rights Under Law, Lynn United for Change, Legal Assistance Corporation of Central Mass, Mass Advocates for Children, Mass AFL-CIO, Mass Coalition for the Homeless, Mass Community Action Network, Massachusetts Fair Housing Center, Mass Jobs With Justice, Mass Law Reform Institute, Mass Welfare Rights Union, Merrimack Valley Labor Council, NAACP</w:t>
      </w:r>
      <w:r w:rsidRPr="00920C2A">
        <w:rPr>
          <w:rFonts w:hAnsi="Times New Roman" w:cs="Times New Roman"/>
          <w:i/>
          <w:iCs/>
          <w:sz w:val="16"/>
        </w:rPr>
        <w:softHyphen/>
        <w:t xml:space="preserve"> N.E. Area Council, National Community Reinvestment Coalition, National Consumer Law Center, National Lawyers Guild, Neighbor-to-Neighbor, Neighborhood Legal Services, New England United for Justice, North Shore Labor Council,</w:t>
      </w:r>
      <w:r w:rsidRPr="00920C2A">
        <w:rPr>
          <w:rFonts w:hAnsi="Times New Roman" w:cs="Times New Roman"/>
          <w:sz w:val="16"/>
        </w:rPr>
        <w:t xml:space="preserve"> </w:t>
      </w:r>
      <w:r w:rsidRPr="00920C2A">
        <w:rPr>
          <w:rFonts w:hAnsi="Times New Roman" w:cs="Times New Roman"/>
          <w:i/>
          <w:iCs/>
          <w:sz w:val="16"/>
        </w:rPr>
        <w:t>¿</w:t>
      </w:r>
      <w:proofErr w:type="spellStart"/>
      <w:r w:rsidRPr="00920C2A">
        <w:rPr>
          <w:rFonts w:hAnsi="Times New Roman" w:cs="Times New Roman"/>
          <w:i/>
          <w:iCs/>
          <w:sz w:val="16"/>
        </w:rPr>
        <w:t>Oiste</w:t>
      </w:r>
      <w:proofErr w:type="spellEnd"/>
      <w:r w:rsidRPr="00920C2A">
        <w:rPr>
          <w:rFonts w:hAnsi="Times New Roman" w:cs="Times New Roman"/>
          <w:i/>
          <w:iCs/>
          <w:sz w:val="16"/>
        </w:rPr>
        <w:t xml:space="preserve">?, Organization for a New Equality, Painters District Council 35, Pleasant St. Neighborhood Network Center, Southbridge Community Connections, Springfield No One Leaves Coalition, Survivors Inc., Tri-City Community Action Program, UE Northeast Region, Union of Minority Neighborhoods, United Auto Workers Mass CAP, United Food &amp; Commercial Workers 1445, United For a Fair Economy, United Steel Workers Local 5696, Volunteer Lawyers Project, Worcester Anti-Foreclosure Team. </w:t>
      </w:r>
    </w:p>
    <w:sectPr w:rsidR="000B6F87" w:rsidRPr="00920C2A" w:rsidSect="00E1657B">
      <w:headerReference w:type="default" r:id="rId10"/>
      <w:footerReference w:type="default" r:id="rId11"/>
      <w:headerReference w:type="first" r:id="rId12"/>
      <w:footerReference w:type="first" r:id="rId13"/>
      <w:pgSz w:w="12240" w:h="15840"/>
      <w:pgMar w:top="720" w:right="720" w:bottom="720" w:left="72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6C" w:rsidRDefault="00022A6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22A6C" w:rsidRDefault="00022A6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Optima">
    <w:altName w:val="Bell MT"/>
    <w:charset w:val="00"/>
    <w:family w:val="auto"/>
    <w:pitch w:val="variable"/>
    <w:sig w:usb0="00000000"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Optima ExtraBlack">
    <w:altName w:val="Bodoni MT Black"/>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87" w:rsidRDefault="000B6F87">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87" w:rsidRDefault="000B6F8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6C" w:rsidRDefault="00022A6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22A6C" w:rsidRDefault="00022A6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87" w:rsidRDefault="000B6F87">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87" w:rsidRDefault="000B6F8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DC7"/>
    <w:multiLevelType w:val="multilevel"/>
    <w:tmpl w:val="2E689112"/>
    <w:lvl w:ilvl="0">
      <w:numFmt w:val="bullet"/>
      <w:lvlText w:val="•"/>
      <w:lvlJc w:val="left"/>
      <w:pPr>
        <w:tabs>
          <w:tab w:val="num" w:pos="164"/>
        </w:tabs>
        <w:ind w:left="164" w:hanging="164"/>
      </w:pPr>
      <w:rPr>
        <w:rFonts w:ascii="Times New Roman" w:eastAsia="Times New Roman" w:hAnsi="Times New Roman"/>
        <w:position w:val="-2"/>
        <w:sz w:val="24"/>
        <w:u w:val="none"/>
      </w:rPr>
    </w:lvl>
    <w:lvl w:ilvl="1">
      <w:start w:val="1"/>
      <w:numFmt w:val="bullet"/>
      <w:lvlText w:val="•"/>
      <w:lvlJc w:val="left"/>
      <w:pPr>
        <w:tabs>
          <w:tab w:val="num" w:pos="344"/>
        </w:tabs>
        <w:ind w:left="344" w:hanging="164"/>
      </w:pPr>
      <w:rPr>
        <w:rFonts w:ascii="Arial" w:eastAsia="Times New Roman" w:hAnsi="Arial"/>
        <w:position w:val="-2"/>
        <w:sz w:val="20"/>
        <w:u w:val="single"/>
      </w:rPr>
    </w:lvl>
    <w:lvl w:ilvl="2">
      <w:start w:val="1"/>
      <w:numFmt w:val="bullet"/>
      <w:lvlText w:val="•"/>
      <w:lvlJc w:val="left"/>
      <w:pPr>
        <w:tabs>
          <w:tab w:val="num" w:pos="524"/>
        </w:tabs>
        <w:ind w:left="524" w:hanging="164"/>
      </w:pPr>
      <w:rPr>
        <w:rFonts w:ascii="Arial" w:eastAsia="Times New Roman" w:hAnsi="Arial"/>
        <w:position w:val="-2"/>
        <w:sz w:val="20"/>
        <w:u w:val="single"/>
      </w:rPr>
    </w:lvl>
    <w:lvl w:ilvl="3">
      <w:start w:val="1"/>
      <w:numFmt w:val="bullet"/>
      <w:lvlText w:val="•"/>
      <w:lvlJc w:val="left"/>
      <w:pPr>
        <w:tabs>
          <w:tab w:val="num" w:pos="704"/>
        </w:tabs>
        <w:ind w:left="704" w:hanging="164"/>
      </w:pPr>
      <w:rPr>
        <w:rFonts w:ascii="Arial" w:eastAsia="Times New Roman" w:hAnsi="Arial"/>
        <w:position w:val="-2"/>
        <w:sz w:val="20"/>
        <w:u w:val="single"/>
      </w:rPr>
    </w:lvl>
    <w:lvl w:ilvl="4">
      <w:start w:val="1"/>
      <w:numFmt w:val="bullet"/>
      <w:lvlText w:val="•"/>
      <w:lvlJc w:val="left"/>
      <w:pPr>
        <w:tabs>
          <w:tab w:val="num" w:pos="884"/>
        </w:tabs>
        <w:ind w:left="884" w:hanging="164"/>
      </w:pPr>
      <w:rPr>
        <w:rFonts w:ascii="Arial" w:eastAsia="Times New Roman" w:hAnsi="Arial"/>
        <w:position w:val="-2"/>
        <w:sz w:val="20"/>
        <w:u w:val="single"/>
      </w:rPr>
    </w:lvl>
    <w:lvl w:ilvl="5">
      <w:start w:val="1"/>
      <w:numFmt w:val="bullet"/>
      <w:lvlText w:val="•"/>
      <w:lvlJc w:val="left"/>
      <w:pPr>
        <w:tabs>
          <w:tab w:val="num" w:pos="1064"/>
        </w:tabs>
        <w:ind w:left="1064" w:hanging="164"/>
      </w:pPr>
      <w:rPr>
        <w:rFonts w:ascii="Arial" w:eastAsia="Times New Roman" w:hAnsi="Arial"/>
        <w:position w:val="-2"/>
        <w:sz w:val="20"/>
        <w:u w:val="single"/>
      </w:rPr>
    </w:lvl>
    <w:lvl w:ilvl="6">
      <w:start w:val="1"/>
      <w:numFmt w:val="bullet"/>
      <w:lvlText w:val="•"/>
      <w:lvlJc w:val="left"/>
      <w:pPr>
        <w:tabs>
          <w:tab w:val="num" w:pos="1244"/>
        </w:tabs>
        <w:ind w:left="1244" w:hanging="164"/>
      </w:pPr>
      <w:rPr>
        <w:rFonts w:ascii="Arial" w:eastAsia="Times New Roman" w:hAnsi="Arial"/>
        <w:position w:val="-2"/>
        <w:sz w:val="20"/>
        <w:u w:val="single"/>
      </w:rPr>
    </w:lvl>
    <w:lvl w:ilvl="7">
      <w:start w:val="1"/>
      <w:numFmt w:val="bullet"/>
      <w:lvlText w:val="•"/>
      <w:lvlJc w:val="left"/>
      <w:pPr>
        <w:tabs>
          <w:tab w:val="num" w:pos="1424"/>
        </w:tabs>
        <w:ind w:left="1424" w:hanging="164"/>
      </w:pPr>
      <w:rPr>
        <w:rFonts w:ascii="Arial" w:eastAsia="Times New Roman" w:hAnsi="Arial"/>
        <w:position w:val="-2"/>
        <w:sz w:val="20"/>
        <w:u w:val="single"/>
      </w:rPr>
    </w:lvl>
    <w:lvl w:ilvl="8">
      <w:start w:val="1"/>
      <w:numFmt w:val="bullet"/>
      <w:lvlText w:val="•"/>
      <w:lvlJc w:val="left"/>
      <w:pPr>
        <w:tabs>
          <w:tab w:val="num" w:pos="1604"/>
        </w:tabs>
        <w:ind w:left="1604" w:hanging="164"/>
      </w:pPr>
      <w:rPr>
        <w:rFonts w:ascii="Arial" w:eastAsia="Times New Roman" w:hAnsi="Arial"/>
        <w:position w:val="-2"/>
        <w:sz w:val="20"/>
        <w:u w:val="single"/>
      </w:rPr>
    </w:lvl>
  </w:abstractNum>
  <w:abstractNum w:abstractNumId="1">
    <w:nsid w:val="2C6D01A5"/>
    <w:multiLevelType w:val="multilevel"/>
    <w:tmpl w:val="8346B88C"/>
    <w:lvl w:ilvl="0">
      <w:start w:val="1"/>
      <w:numFmt w:val="bullet"/>
      <w:lvlText w:val="•"/>
      <w:lvlJc w:val="left"/>
      <w:pPr>
        <w:tabs>
          <w:tab w:val="num" w:pos="164"/>
        </w:tabs>
        <w:ind w:left="164" w:hanging="164"/>
      </w:pPr>
      <w:rPr>
        <w:rFonts w:ascii="Arial" w:eastAsia="Times New Roman" w:hAnsi="Arial"/>
        <w:position w:val="-2"/>
        <w:sz w:val="20"/>
        <w:u w:val="single"/>
      </w:rPr>
    </w:lvl>
    <w:lvl w:ilvl="1">
      <w:start w:val="1"/>
      <w:numFmt w:val="bullet"/>
      <w:lvlText w:val="•"/>
      <w:lvlJc w:val="left"/>
      <w:pPr>
        <w:tabs>
          <w:tab w:val="num" w:pos="344"/>
        </w:tabs>
        <w:ind w:left="344" w:hanging="164"/>
      </w:pPr>
      <w:rPr>
        <w:rFonts w:ascii="Arial" w:eastAsia="Times New Roman" w:hAnsi="Arial"/>
        <w:position w:val="-2"/>
        <w:sz w:val="20"/>
        <w:u w:val="single"/>
      </w:rPr>
    </w:lvl>
    <w:lvl w:ilvl="2">
      <w:start w:val="1"/>
      <w:numFmt w:val="bullet"/>
      <w:lvlText w:val="•"/>
      <w:lvlJc w:val="left"/>
      <w:pPr>
        <w:tabs>
          <w:tab w:val="num" w:pos="524"/>
        </w:tabs>
        <w:ind w:left="524" w:hanging="164"/>
      </w:pPr>
      <w:rPr>
        <w:rFonts w:ascii="Arial" w:eastAsia="Times New Roman" w:hAnsi="Arial"/>
        <w:position w:val="-2"/>
        <w:sz w:val="20"/>
        <w:u w:val="single"/>
      </w:rPr>
    </w:lvl>
    <w:lvl w:ilvl="3">
      <w:start w:val="1"/>
      <w:numFmt w:val="bullet"/>
      <w:lvlText w:val="•"/>
      <w:lvlJc w:val="left"/>
      <w:pPr>
        <w:tabs>
          <w:tab w:val="num" w:pos="704"/>
        </w:tabs>
        <w:ind w:left="704" w:hanging="164"/>
      </w:pPr>
      <w:rPr>
        <w:rFonts w:ascii="Arial" w:eastAsia="Times New Roman" w:hAnsi="Arial"/>
        <w:position w:val="-2"/>
        <w:sz w:val="20"/>
        <w:u w:val="single"/>
      </w:rPr>
    </w:lvl>
    <w:lvl w:ilvl="4">
      <w:start w:val="1"/>
      <w:numFmt w:val="bullet"/>
      <w:lvlText w:val="•"/>
      <w:lvlJc w:val="left"/>
      <w:pPr>
        <w:tabs>
          <w:tab w:val="num" w:pos="884"/>
        </w:tabs>
        <w:ind w:left="884" w:hanging="164"/>
      </w:pPr>
      <w:rPr>
        <w:rFonts w:ascii="Arial" w:eastAsia="Times New Roman" w:hAnsi="Arial"/>
        <w:position w:val="-2"/>
        <w:sz w:val="20"/>
        <w:u w:val="single"/>
      </w:rPr>
    </w:lvl>
    <w:lvl w:ilvl="5">
      <w:start w:val="1"/>
      <w:numFmt w:val="bullet"/>
      <w:lvlText w:val="•"/>
      <w:lvlJc w:val="left"/>
      <w:pPr>
        <w:tabs>
          <w:tab w:val="num" w:pos="1064"/>
        </w:tabs>
        <w:ind w:left="1064" w:hanging="164"/>
      </w:pPr>
      <w:rPr>
        <w:rFonts w:ascii="Arial" w:eastAsia="Times New Roman" w:hAnsi="Arial"/>
        <w:position w:val="-2"/>
        <w:sz w:val="20"/>
        <w:u w:val="single"/>
      </w:rPr>
    </w:lvl>
    <w:lvl w:ilvl="6">
      <w:start w:val="1"/>
      <w:numFmt w:val="bullet"/>
      <w:lvlText w:val="•"/>
      <w:lvlJc w:val="left"/>
      <w:pPr>
        <w:tabs>
          <w:tab w:val="num" w:pos="1244"/>
        </w:tabs>
        <w:ind w:left="1244" w:hanging="164"/>
      </w:pPr>
      <w:rPr>
        <w:rFonts w:ascii="Arial" w:eastAsia="Times New Roman" w:hAnsi="Arial"/>
        <w:position w:val="-2"/>
        <w:sz w:val="20"/>
        <w:u w:val="single"/>
      </w:rPr>
    </w:lvl>
    <w:lvl w:ilvl="7">
      <w:start w:val="1"/>
      <w:numFmt w:val="bullet"/>
      <w:lvlText w:val="•"/>
      <w:lvlJc w:val="left"/>
      <w:pPr>
        <w:tabs>
          <w:tab w:val="num" w:pos="1424"/>
        </w:tabs>
        <w:ind w:left="1424" w:hanging="164"/>
      </w:pPr>
      <w:rPr>
        <w:rFonts w:ascii="Arial" w:eastAsia="Times New Roman" w:hAnsi="Arial"/>
        <w:position w:val="-2"/>
        <w:sz w:val="20"/>
        <w:u w:val="single"/>
      </w:rPr>
    </w:lvl>
    <w:lvl w:ilvl="8">
      <w:start w:val="1"/>
      <w:numFmt w:val="bullet"/>
      <w:lvlText w:val="•"/>
      <w:lvlJc w:val="left"/>
      <w:pPr>
        <w:tabs>
          <w:tab w:val="num" w:pos="1604"/>
        </w:tabs>
        <w:ind w:left="1604" w:hanging="164"/>
      </w:pPr>
      <w:rPr>
        <w:rFonts w:ascii="Arial" w:eastAsia="Times New Roman" w:hAnsi="Arial"/>
        <w:position w:val="-2"/>
        <w:sz w:val="20"/>
        <w:u w:val="single"/>
      </w:rPr>
    </w:lvl>
  </w:abstractNum>
  <w:abstractNum w:abstractNumId="2">
    <w:nsid w:val="459811AF"/>
    <w:multiLevelType w:val="multilevel"/>
    <w:tmpl w:val="56A208A2"/>
    <w:lvl w:ilvl="0">
      <w:numFmt w:val="bullet"/>
      <w:lvlText w:val="•"/>
      <w:lvlJc w:val="left"/>
      <w:pPr>
        <w:tabs>
          <w:tab w:val="num" w:pos="164"/>
        </w:tabs>
        <w:ind w:left="164" w:hanging="164"/>
      </w:pPr>
      <w:rPr>
        <w:rFonts w:ascii="Times New Roman" w:eastAsia="Times New Roman" w:hAnsi="Times New Roman"/>
        <w:position w:val="-2"/>
        <w:sz w:val="24"/>
        <w:u w:val="none"/>
      </w:rPr>
    </w:lvl>
    <w:lvl w:ilvl="1">
      <w:start w:val="1"/>
      <w:numFmt w:val="bullet"/>
      <w:lvlText w:val="•"/>
      <w:lvlJc w:val="left"/>
      <w:pPr>
        <w:tabs>
          <w:tab w:val="num" w:pos="344"/>
        </w:tabs>
        <w:ind w:left="344" w:hanging="164"/>
      </w:pPr>
      <w:rPr>
        <w:rFonts w:ascii="Arial" w:eastAsia="Times New Roman" w:hAnsi="Arial"/>
        <w:position w:val="-2"/>
        <w:sz w:val="20"/>
        <w:u w:val="single"/>
      </w:rPr>
    </w:lvl>
    <w:lvl w:ilvl="2">
      <w:start w:val="1"/>
      <w:numFmt w:val="bullet"/>
      <w:lvlText w:val="•"/>
      <w:lvlJc w:val="left"/>
      <w:pPr>
        <w:tabs>
          <w:tab w:val="num" w:pos="524"/>
        </w:tabs>
        <w:ind w:left="524" w:hanging="164"/>
      </w:pPr>
      <w:rPr>
        <w:rFonts w:ascii="Arial" w:eastAsia="Times New Roman" w:hAnsi="Arial"/>
        <w:position w:val="-2"/>
        <w:sz w:val="20"/>
        <w:u w:val="single"/>
      </w:rPr>
    </w:lvl>
    <w:lvl w:ilvl="3">
      <w:start w:val="1"/>
      <w:numFmt w:val="bullet"/>
      <w:lvlText w:val="•"/>
      <w:lvlJc w:val="left"/>
      <w:pPr>
        <w:tabs>
          <w:tab w:val="num" w:pos="704"/>
        </w:tabs>
        <w:ind w:left="704" w:hanging="164"/>
      </w:pPr>
      <w:rPr>
        <w:rFonts w:ascii="Arial" w:eastAsia="Times New Roman" w:hAnsi="Arial"/>
        <w:position w:val="-2"/>
        <w:sz w:val="20"/>
        <w:u w:val="single"/>
      </w:rPr>
    </w:lvl>
    <w:lvl w:ilvl="4">
      <w:start w:val="1"/>
      <w:numFmt w:val="bullet"/>
      <w:lvlText w:val="•"/>
      <w:lvlJc w:val="left"/>
      <w:pPr>
        <w:tabs>
          <w:tab w:val="num" w:pos="884"/>
        </w:tabs>
        <w:ind w:left="884" w:hanging="164"/>
      </w:pPr>
      <w:rPr>
        <w:rFonts w:ascii="Arial" w:eastAsia="Times New Roman" w:hAnsi="Arial"/>
        <w:position w:val="-2"/>
        <w:sz w:val="20"/>
        <w:u w:val="single"/>
      </w:rPr>
    </w:lvl>
    <w:lvl w:ilvl="5">
      <w:start w:val="1"/>
      <w:numFmt w:val="bullet"/>
      <w:lvlText w:val="•"/>
      <w:lvlJc w:val="left"/>
      <w:pPr>
        <w:tabs>
          <w:tab w:val="num" w:pos="1064"/>
        </w:tabs>
        <w:ind w:left="1064" w:hanging="164"/>
      </w:pPr>
      <w:rPr>
        <w:rFonts w:ascii="Arial" w:eastAsia="Times New Roman" w:hAnsi="Arial"/>
        <w:position w:val="-2"/>
        <w:sz w:val="20"/>
        <w:u w:val="single"/>
      </w:rPr>
    </w:lvl>
    <w:lvl w:ilvl="6">
      <w:start w:val="1"/>
      <w:numFmt w:val="bullet"/>
      <w:lvlText w:val="•"/>
      <w:lvlJc w:val="left"/>
      <w:pPr>
        <w:tabs>
          <w:tab w:val="num" w:pos="1244"/>
        </w:tabs>
        <w:ind w:left="1244" w:hanging="164"/>
      </w:pPr>
      <w:rPr>
        <w:rFonts w:ascii="Arial" w:eastAsia="Times New Roman" w:hAnsi="Arial"/>
        <w:position w:val="-2"/>
        <w:sz w:val="20"/>
        <w:u w:val="single"/>
      </w:rPr>
    </w:lvl>
    <w:lvl w:ilvl="7">
      <w:start w:val="1"/>
      <w:numFmt w:val="bullet"/>
      <w:lvlText w:val="•"/>
      <w:lvlJc w:val="left"/>
      <w:pPr>
        <w:tabs>
          <w:tab w:val="num" w:pos="1424"/>
        </w:tabs>
        <w:ind w:left="1424" w:hanging="164"/>
      </w:pPr>
      <w:rPr>
        <w:rFonts w:ascii="Arial" w:eastAsia="Times New Roman" w:hAnsi="Arial"/>
        <w:position w:val="-2"/>
        <w:sz w:val="20"/>
        <w:u w:val="single"/>
      </w:rPr>
    </w:lvl>
    <w:lvl w:ilvl="8">
      <w:start w:val="1"/>
      <w:numFmt w:val="bullet"/>
      <w:lvlText w:val="•"/>
      <w:lvlJc w:val="left"/>
      <w:pPr>
        <w:tabs>
          <w:tab w:val="num" w:pos="1604"/>
        </w:tabs>
        <w:ind w:left="1604" w:hanging="164"/>
      </w:pPr>
      <w:rPr>
        <w:rFonts w:ascii="Arial" w:eastAsia="Times New Roman" w:hAnsi="Arial"/>
        <w:position w:val="-2"/>
        <w:sz w:val="20"/>
        <w:u w:val="single"/>
      </w:rPr>
    </w:lvl>
  </w:abstractNum>
  <w:abstractNum w:abstractNumId="3">
    <w:nsid w:val="4A862C25"/>
    <w:multiLevelType w:val="multilevel"/>
    <w:tmpl w:val="A2263BA2"/>
    <w:lvl w:ilvl="0">
      <w:numFmt w:val="bullet"/>
      <w:lvlText w:val="•"/>
      <w:lvlJc w:val="left"/>
      <w:pPr>
        <w:tabs>
          <w:tab w:val="num" w:pos="164"/>
        </w:tabs>
        <w:ind w:left="164" w:hanging="164"/>
      </w:pPr>
      <w:rPr>
        <w:rFonts w:ascii="Times New Roman" w:eastAsia="Times New Roman" w:hAnsi="Times New Roman"/>
        <w:position w:val="-2"/>
        <w:sz w:val="24"/>
        <w:u w:val="none"/>
      </w:rPr>
    </w:lvl>
    <w:lvl w:ilvl="1">
      <w:start w:val="1"/>
      <w:numFmt w:val="bullet"/>
      <w:lvlText w:val="•"/>
      <w:lvlJc w:val="left"/>
      <w:pPr>
        <w:tabs>
          <w:tab w:val="num" w:pos="344"/>
        </w:tabs>
        <w:ind w:left="344" w:hanging="164"/>
      </w:pPr>
      <w:rPr>
        <w:rFonts w:ascii="Arial" w:eastAsia="Times New Roman" w:hAnsi="Arial"/>
        <w:position w:val="-2"/>
        <w:sz w:val="20"/>
        <w:u w:val="single"/>
      </w:rPr>
    </w:lvl>
    <w:lvl w:ilvl="2">
      <w:start w:val="1"/>
      <w:numFmt w:val="bullet"/>
      <w:lvlText w:val="•"/>
      <w:lvlJc w:val="left"/>
      <w:pPr>
        <w:tabs>
          <w:tab w:val="num" w:pos="524"/>
        </w:tabs>
        <w:ind w:left="524" w:hanging="164"/>
      </w:pPr>
      <w:rPr>
        <w:rFonts w:ascii="Arial" w:eastAsia="Times New Roman" w:hAnsi="Arial"/>
        <w:position w:val="-2"/>
        <w:sz w:val="20"/>
        <w:u w:val="single"/>
      </w:rPr>
    </w:lvl>
    <w:lvl w:ilvl="3">
      <w:start w:val="1"/>
      <w:numFmt w:val="bullet"/>
      <w:lvlText w:val="•"/>
      <w:lvlJc w:val="left"/>
      <w:pPr>
        <w:tabs>
          <w:tab w:val="num" w:pos="704"/>
        </w:tabs>
        <w:ind w:left="704" w:hanging="164"/>
      </w:pPr>
      <w:rPr>
        <w:rFonts w:ascii="Arial" w:eastAsia="Times New Roman" w:hAnsi="Arial"/>
        <w:position w:val="-2"/>
        <w:sz w:val="20"/>
        <w:u w:val="single"/>
      </w:rPr>
    </w:lvl>
    <w:lvl w:ilvl="4">
      <w:start w:val="1"/>
      <w:numFmt w:val="bullet"/>
      <w:lvlText w:val="•"/>
      <w:lvlJc w:val="left"/>
      <w:pPr>
        <w:tabs>
          <w:tab w:val="num" w:pos="884"/>
        </w:tabs>
        <w:ind w:left="884" w:hanging="164"/>
      </w:pPr>
      <w:rPr>
        <w:rFonts w:ascii="Arial" w:eastAsia="Times New Roman" w:hAnsi="Arial"/>
        <w:position w:val="-2"/>
        <w:sz w:val="20"/>
        <w:u w:val="single"/>
      </w:rPr>
    </w:lvl>
    <w:lvl w:ilvl="5">
      <w:start w:val="1"/>
      <w:numFmt w:val="bullet"/>
      <w:lvlText w:val="•"/>
      <w:lvlJc w:val="left"/>
      <w:pPr>
        <w:tabs>
          <w:tab w:val="num" w:pos="1064"/>
        </w:tabs>
        <w:ind w:left="1064" w:hanging="164"/>
      </w:pPr>
      <w:rPr>
        <w:rFonts w:ascii="Arial" w:eastAsia="Times New Roman" w:hAnsi="Arial"/>
        <w:position w:val="-2"/>
        <w:sz w:val="20"/>
        <w:u w:val="single"/>
      </w:rPr>
    </w:lvl>
    <w:lvl w:ilvl="6">
      <w:start w:val="1"/>
      <w:numFmt w:val="bullet"/>
      <w:lvlText w:val="•"/>
      <w:lvlJc w:val="left"/>
      <w:pPr>
        <w:tabs>
          <w:tab w:val="num" w:pos="1244"/>
        </w:tabs>
        <w:ind w:left="1244" w:hanging="164"/>
      </w:pPr>
      <w:rPr>
        <w:rFonts w:ascii="Arial" w:eastAsia="Times New Roman" w:hAnsi="Arial"/>
        <w:position w:val="-2"/>
        <w:sz w:val="20"/>
        <w:u w:val="single"/>
      </w:rPr>
    </w:lvl>
    <w:lvl w:ilvl="7">
      <w:start w:val="1"/>
      <w:numFmt w:val="bullet"/>
      <w:lvlText w:val="•"/>
      <w:lvlJc w:val="left"/>
      <w:pPr>
        <w:tabs>
          <w:tab w:val="num" w:pos="1424"/>
        </w:tabs>
        <w:ind w:left="1424" w:hanging="164"/>
      </w:pPr>
      <w:rPr>
        <w:rFonts w:ascii="Arial" w:eastAsia="Times New Roman" w:hAnsi="Arial"/>
        <w:position w:val="-2"/>
        <w:sz w:val="20"/>
        <w:u w:val="single"/>
      </w:rPr>
    </w:lvl>
    <w:lvl w:ilvl="8">
      <w:start w:val="1"/>
      <w:numFmt w:val="bullet"/>
      <w:lvlText w:val="•"/>
      <w:lvlJc w:val="left"/>
      <w:pPr>
        <w:tabs>
          <w:tab w:val="num" w:pos="1604"/>
        </w:tabs>
        <w:ind w:left="1604" w:hanging="164"/>
      </w:pPr>
      <w:rPr>
        <w:rFonts w:ascii="Arial" w:eastAsia="Times New Roman" w:hAnsi="Arial"/>
        <w:position w:val="-2"/>
        <w:sz w:val="20"/>
        <w:u w:val="single"/>
      </w:rPr>
    </w:lvl>
  </w:abstractNum>
  <w:abstractNum w:abstractNumId="4">
    <w:nsid w:val="61A671EC"/>
    <w:multiLevelType w:val="multilevel"/>
    <w:tmpl w:val="6630A222"/>
    <w:lvl w:ilvl="0">
      <w:numFmt w:val="bullet"/>
      <w:lvlText w:val="•"/>
      <w:lvlJc w:val="left"/>
      <w:pPr>
        <w:tabs>
          <w:tab w:val="num" w:pos="164"/>
        </w:tabs>
        <w:ind w:left="164" w:hanging="164"/>
      </w:pPr>
      <w:rPr>
        <w:rFonts w:ascii="Times New Roman" w:eastAsia="Times New Roman" w:hAnsi="Times New Roman"/>
        <w:position w:val="-2"/>
        <w:sz w:val="24"/>
        <w:u w:val="none"/>
      </w:rPr>
    </w:lvl>
    <w:lvl w:ilvl="1">
      <w:start w:val="1"/>
      <w:numFmt w:val="bullet"/>
      <w:lvlText w:val="•"/>
      <w:lvlJc w:val="left"/>
      <w:pPr>
        <w:tabs>
          <w:tab w:val="num" w:pos="344"/>
        </w:tabs>
        <w:ind w:left="344" w:hanging="164"/>
      </w:pPr>
      <w:rPr>
        <w:rFonts w:ascii="Arial" w:eastAsia="Times New Roman" w:hAnsi="Arial"/>
        <w:position w:val="-2"/>
        <w:sz w:val="20"/>
        <w:u w:val="single"/>
      </w:rPr>
    </w:lvl>
    <w:lvl w:ilvl="2">
      <w:start w:val="1"/>
      <w:numFmt w:val="bullet"/>
      <w:lvlText w:val="•"/>
      <w:lvlJc w:val="left"/>
      <w:pPr>
        <w:tabs>
          <w:tab w:val="num" w:pos="524"/>
        </w:tabs>
        <w:ind w:left="524" w:hanging="164"/>
      </w:pPr>
      <w:rPr>
        <w:rFonts w:ascii="Arial" w:eastAsia="Times New Roman" w:hAnsi="Arial"/>
        <w:position w:val="-2"/>
        <w:sz w:val="20"/>
        <w:u w:val="single"/>
      </w:rPr>
    </w:lvl>
    <w:lvl w:ilvl="3">
      <w:start w:val="1"/>
      <w:numFmt w:val="bullet"/>
      <w:lvlText w:val="•"/>
      <w:lvlJc w:val="left"/>
      <w:pPr>
        <w:tabs>
          <w:tab w:val="num" w:pos="704"/>
        </w:tabs>
        <w:ind w:left="704" w:hanging="164"/>
      </w:pPr>
      <w:rPr>
        <w:rFonts w:ascii="Arial" w:eastAsia="Times New Roman" w:hAnsi="Arial"/>
        <w:position w:val="-2"/>
        <w:sz w:val="20"/>
        <w:u w:val="single"/>
      </w:rPr>
    </w:lvl>
    <w:lvl w:ilvl="4">
      <w:start w:val="1"/>
      <w:numFmt w:val="bullet"/>
      <w:lvlText w:val="•"/>
      <w:lvlJc w:val="left"/>
      <w:pPr>
        <w:tabs>
          <w:tab w:val="num" w:pos="884"/>
        </w:tabs>
        <w:ind w:left="884" w:hanging="164"/>
      </w:pPr>
      <w:rPr>
        <w:rFonts w:ascii="Arial" w:eastAsia="Times New Roman" w:hAnsi="Arial"/>
        <w:position w:val="-2"/>
        <w:sz w:val="20"/>
        <w:u w:val="single"/>
      </w:rPr>
    </w:lvl>
    <w:lvl w:ilvl="5">
      <w:start w:val="1"/>
      <w:numFmt w:val="bullet"/>
      <w:lvlText w:val="•"/>
      <w:lvlJc w:val="left"/>
      <w:pPr>
        <w:tabs>
          <w:tab w:val="num" w:pos="1064"/>
        </w:tabs>
        <w:ind w:left="1064" w:hanging="164"/>
      </w:pPr>
      <w:rPr>
        <w:rFonts w:ascii="Arial" w:eastAsia="Times New Roman" w:hAnsi="Arial"/>
        <w:position w:val="-2"/>
        <w:sz w:val="20"/>
        <w:u w:val="single"/>
      </w:rPr>
    </w:lvl>
    <w:lvl w:ilvl="6">
      <w:start w:val="1"/>
      <w:numFmt w:val="bullet"/>
      <w:lvlText w:val="•"/>
      <w:lvlJc w:val="left"/>
      <w:pPr>
        <w:tabs>
          <w:tab w:val="num" w:pos="1244"/>
        </w:tabs>
        <w:ind w:left="1244" w:hanging="164"/>
      </w:pPr>
      <w:rPr>
        <w:rFonts w:ascii="Arial" w:eastAsia="Times New Roman" w:hAnsi="Arial"/>
        <w:position w:val="-2"/>
        <w:sz w:val="20"/>
        <w:u w:val="single"/>
      </w:rPr>
    </w:lvl>
    <w:lvl w:ilvl="7">
      <w:start w:val="1"/>
      <w:numFmt w:val="bullet"/>
      <w:lvlText w:val="•"/>
      <w:lvlJc w:val="left"/>
      <w:pPr>
        <w:tabs>
          <w:tab w:val="num" w:pos="1424"/>
        </w:tabs>
        <w:ind w:left="1424" w:hanging="164"/>
      </w:pPr>
      <w:rPr>
        <w:rFonts w:ascii="Arial" w:eastAsia="Times New Roman" w:hAnsi="Arial"/>
        <w:position w:val="-2"/>
        <w:sz w:val="20"/>
        <w:u w:val="single"/>
      </w:rPr>
    </w:lvl>
    <w:lvl w:ilvl="8">
      <w:start w:val="1"/>
      <w:numFmt w:val="bullet"/>
      <w:lvlText w:val="•"/>
      <w:lvlJc w:val="left"/>
      <w:pPr>
        <w:tabs>
          <w:tab w:val="num" w:pos="1604"/>
        </w:tabs>
        <w:ind w:left="1604" w:hanging="164"/>
      </w:pPr>
      <w:rPr>
        <w:rFonts w:ascii="Arial" w:eastAsia="Times New Roman" w:hAnsi="Arial"/>
        <w:position w:val="-2"/>
        <w:sz w:val="20"/>
        <w:u w:val="single"/>
      </w:rPr>
    </w:lvl>
  </w:abstractNum>
  <w:abstractNum w:abstractNumId="5">
    <w:nsid w:val="7FC57AD1"/>
    <w:multiLevelType w:val="multilevel"/>
    <w:tmpl w:val="FF24AAE4"/>
    <w:lvl w:ilvl="0">
      <w:numFmt w:val="bullet"/>
      <w:lvlText w:val="•"/>
      <w:lvlJc w:val="left"/>
      <w:pPr>
        <w:tabs>
          <w:tab w:val="num" w:pos="164"/>
        </w:tabs>
        <w:ind w:left="164" w:hanging="164"/>
      </w:pPr>
      <w:rPr>
        <w:rFonts w:ascii="Times New Roman" w:eastAsia="Times New Roman" w:hAnsi="Times New Roman"/>
        <w:position w:val="-2"/>
        <w:sz w:val="24"/>
        <w:u w:val="none"/>
      </w:rPr>
    </w:lvl>
    <w:lvl w:ilvl="1">
      <w:start w:val="1"/>
      <w:numFmt w:val="bullet"/>
      <w:lvlText w:val="•"/>
      <w:lvlJc w:val="left"/>
      <w:pPr>
        <w:tabs>
          <w:tab w:val="num" w:pos="344"/>
        </w:tabs>
        <w:ind w:left="344" w:hanging="164"/>
      </w:pPr>
      <w:rPr>
        <w:rFonts w:ascii="Arial" w:eastAsia="Times New Roman" w:hAnsi="Arial"/>
        <w:position w:val="-2"/>
        <w:sz w:val="20"/>
        <w:u w:val="single"/>
      </w:rPr>
    </w:lvl>
    <w:lvl w:ilvl="2">
      <w:start w:val="1"/>
      <w:numFmt w:val="bullet"/>
      <w:lvlText w:val="•"/>
      <w:lvlJc w:val="left"/>
      <w:pPr>
        <w:tabs>
          <w:tab w:val="num" w:pos="524"/>
        </w:tabs>
        <w:ind w:left="524" w:hanging="164"/>
      </w:pPr>
      <w:rPr>
        <w:rFonts w:ascii="Arial" w:eastAsia="Times New Roman" w:hAnsi="Arial"/>
        <w:position w:val="-2"/>
        <w:sz w:val="20"/>
        <w:u w:val="single"/>
      </w:rPr>
    </w:lvl>
    <w:lvl w:ilvl="3">
      <w:start w:val="1"/>
      <w:numFmt w:val="bullet"/>
      <w:lvlText w:val="•"/>
      <w:lvlJc w:val="left"/>
      <w:pPr>
        <w:tabs>
          <w:tab w:val="num" w:pos="704"/>
        </w:tabs>
        <w:ind w:left="704" w:hanging="164"/>
      </w:pPr>
      <w:rPr>
        <w:rFonts w:ascii="Arial" w:eastAsia="Times New Roman" w:hAnsi="Arial"/>
        <w:position w:val="-2"/>
        <w:sz w:val="20"/>
        <w:u w:val="single"/>
      </w:rPr>
    </w:lvl>
    <w:lvl w:ilvl="4">
      <w:start w:val="1"/>
      <w:numFmt w:val="bullet"/>
      <w:lvlText w:val="•"/>
      <w:lvlJc w:val="left"/>
      <w:pPr>
        <w:tabs>
          <w:tab w:val="num" w:pos="884"/>
        </w:tabs>
        <w:ind w:left="884" w:hanging="164"/>
      </w:pPr>
      <w:rPr>
        <w:rFonts w:ascii="Arial" w:eastAsia="Times New Roman" w:hAnsi="Arial"/>
        <w:position w:val="-2"/>
        <w:sz w:val="20"/>
        <w:u w:val="single"/>
      </w:rPr>
    </w:lvl>
    <w:lvl w:ilvl="5">
      <w:start w:val="1"/>
      <w:numFmt w:val="bullet"/>
      <w:lvlText w:val="•"/>
      <w:lvlJc w:val="left"/>
      <w:pPr>
        <w:tabs>
          <w:tab w:val="num" w:pos="1064"/>
        </w:tabs>
        <w:ind w:left="1064" w:hanging="164"/>
      </w:pPr>
      <w:rPr>
        <w:rFonts w:ascii="Arial" w:eastAsia="Times New Roman" w:hAnsi="Arial"/>
        <w:position w:val="-2"/>
        <w:sz w:val="20"/>
        <w:u w:val="single"/>
      </w:rPr>
    </w:lvl>
    <w:lvl w:ilvl="6">
      <w:start w:val="1"/>
      <w:numFmt w:val="bullet"/>
      <w:lvlText w:val="•"/>
      <w:lvlJc w:val="left"/>
      <w:pPr>
        <w:tabs>
          <w:tab w:val="num" w:pos="1244"/>
        </w:tabs>
        <w:ind w:left="1244" w:hanging="164"/>
      </w:pPr>
      <w:rPr>
        <w:rFonts w:ascii="Arial" w:eastAsia="Times New Roman" w:hAnsi="Arial"/>
        <w:position w:val="-2"/>
        <w:sz w:val="20"/>
        <w:u w:val="single"/>
      </w:rPr>
    </w:lvl>
    <w:lvl w:ilvl="7">
      <w:start w:val="1"/>
      <w:numFmt w:val="bullet"/>
      <w:lvlText w:val="•"/>
      <w:lvlJc w:val="left"/>
      <w:pPr>
        <w:tabs>
          <w:tab w:val="num" w:pos="1424"/>
        </w:tabs>
        <w:ind w:left="1424" w:hanging="164"/>
      </w:pPr>
      <w:rPr>
        <w:rFonts w:ascii="Arial" w:eastAsia="Times New Roman" w:hAnsi="Arial"/>
        <w:position w:val="-2"/>
        <w:sz w:val="20"/>
        <w:u w:val="single"/>
      </w:rPr>
    </w:lvl>
    <w:lvl w:ilvl="8">
      <w:start w:val="1"/>
      <w:numFmt w:val="bullet"/>
      <w:lvlText w:val="•"/>
      <w:lvlJc w:val="left"/>
      <w:pPr>
        <w:tabs>
          <w:tab w:val="num" w:pos="1604"/>
        </w:tabs>
        <w:ind w:left="1604" w:hanging="164"/>
      </w:pPr>
      <w:rPr>
        <w:rFonts w:ascii="Arial" w:eastAsia="Times New Roman" w:hAnsi="Arial"/>
        <w:position w:val="-2"/>
        <w:sz w:val="20"/>
        <w:u w:val="single"/>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C44"/>
    <w:rsid w:val="00022A6C"/>
    <w:rsid w:val="000B6F87"/>
    <w:rsid w:val="001E6016"/>
    <w:rsid w:val="002037E4"/>
    <w:rsid w:val="00204F8F"/>
    <w:rsid w:val="003E3C11"/>
    <w:rsid w:val="004512F0"/>
    <w:rsid w:val="00467038"/>
    <w:rsid w:val="00490DCC"/>
    <w:rsid w:val="004926FF"/>
    <w:rsid w:val="005165E5"/>
    <w:rsid w:val="00636712"/>
    <w:rsid w:val="00674169"/>
    <w:rsid w:val="006B19B1"/>
    <w:rsid w:val="006B384C"/>
    <w:rsid w:val="006E74D0"/>
    <w:rsid w:val="007354E3"/>
    <w:rsid w:val="0077546B"/>
    <w:rsid w:val="007754F4"/>
    <w:rsid w:val="008147D8"/>
    <w:rsid w:val="00834A0F"/>
    <w:rsid w:val="008F6789"/>
    <w:rsid w:val="00920C2A"/>
    <w:rsid w:val="00977413"/>
    <w:rsid w:val="009C4FCB"/>
    <w:rsid w:val="00A02042"/>
    <w:rsid w:val="00A4158E"/>
    <w:rsid w:val="00A5075D"/>
    <w:rsid w:val="00A62C44"/>
    <w:rsid w:val="00AB3166"/>
    <w:rsid w:val="00B4499A"/>
    <w:rsid w:val="00BD5689"/>
    <w:rsid w:val="00C94A94"/>
    <w:rsid w:val="00C96EF8"/>
    <w:rsid w:val="00CA4D96"/>
    <w:rsid w:val="00DB2C67"/>
    <w:rsid w:val="00DD30DF"/>
    <w:rsid w:val="00DF1217"/>
    <w:rsid w:val="00E106B7"/>
    <w:rsid w:val="00E1657B"/>
    <w:rsid w:val="00E5459B"/>
    <w:rsid w:val="00EA2C57"/>
    <w:rsid w:val="00EB1178"/>
    <w:rsid w:val="00F973B7"/>
    <w:rsid w:val="00FA3C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7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57B"/>
    <w:rPr>
      <w:rFonts w:cs="Times New Roman"/>
      <w:u w:val="single"/>
    </w:rPr>
  </w:style>
  <w:style w:type="paragraph" w:customStyle="1" w:styleId="HeaderFooter">
    <w:name w:val="Header &amp; Footer"/>
    <w:uiPriority w:val="99"/>
    <w:rsid w:val="00E1657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character" w:customStyle="1" w:styleId="Link">
    <w:name w:val="Link"/>
    <w:uiPriority w:val="99"/>
    <w:rsid w:val="00E1657B"/>
    <w:rPr>
      <w:color w:val="0000FF"/>
      <w:u w:val="single" w:color="0000FF"/>
    </w:rPr>
  </w:style>
  <w:style w:type="character" w:customStyle="1" w:styleId="Hyperlink0">
    <w:name w:val="Hyperlink.0"/>
    <w:uiPriority w:val="99"/>
    <w:rsid w:val="00E1657B"/>
    <w:rPr>
      <w:rFonts w:ascii="Optima" w:eastAsia="Times New Roman" w:hAnsi="Optima"/>
      <w:b/>
      <w:i/>
      <w:color w:val="000000"/>
      <w:u w:val="single" w:color="000000"/>
    </w:rPr>
  </w:style>
  <w:style w:type="character" w:customStyle="1" w:styleId="Hyperlink1">
    <w:name w:val="Hyperlink.1"/>
    <w:uiPriority w:val="99"/>
    <w:rsid w:val="00E1657B"/>
    <w:rPr>
      <w:i/>
      <w:color w:val="000000"/>
      <w:sz w:val="21"/>
      <w:u w:val="none" w:color="000000"/>
    </w:rPr>
  </w:style>
  <w:style w:type="character" w:customStyle="1" w:styleId="None">
    <w:name w:val="None"/>
    <w:uiPriority w:val="99"/>
    <w:rsid w:val="00E1657B"/>
  </w:style>
  <w:style w:type="character" w:customStyle="1" w:styleId="Hyperlink2">
    <w:name w:val="Hyperlink.2"/>
    <w:uiPriority w:val="99"/>
    <w:rsid w:val="00E1657B"/>
    <w:rPr>
      <w:i/>
      <w:sz w:val="21"/>
    </w:rPr>
  </w:style>
  <w:style w:type="paragraph" w:styleId="BalloonText">
    <w:name w:val="Balloon Text"/>
    <w:basedOn w:val="Normal"/>
    <w:link w:val="BalloonTextChar"/>
    <w:uiPriority w:val="99"/>
    <w:semiHidden/>
    <w:rsid w:val="009C4FCB"/>
    <w:rPr>
      <w:rFonts w:ascii="Lucida Grande" w:eastAsia="Arial Unicode MS" w:hAnsi="Lucida Grande" w:cs="Times New Roman"/>
      <w:sz w:val="18"/>
      <w:szCs w:val="18"/>
    </w:rPr>
  </w:style>
  <w:style w:type="character" w:customStyle="1" w:styleId="BalloonTextChar">
    <w:name w:val="Balloon Text Char"/>
    <w:link w:val="BalloonText"/>
    <w:uiPriority w:val="99"/>
    <w:semiHidden/>
    <w:rsid w:val="009C4FCB"/>
    <w:rPr>
      <w:rFonts w:ascii="Lucida Grande" w:hAnsi="Lucida Grande"/>
      <w:color w:val="000000"/>
      <w:sz w:val="18"/>
      <w:u w:color="000000"/>
    </w:rPr>
  </w:style>
  <w:style w:type="paragraph" w:customStyle="1" w:styleId="Body">
    <w:name w:val="Body"/>
    <w:uiPriority w:val="99"/>
    <w:rsid w:val="00A4158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aplinfo@yaho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apl.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Action for Boston Community Development</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Mark Williams</cp:lastModifiedBy>
  <cp:revision>12</cp:revision>
  <cp:lastPrinted>2015-05-08T13:29:00Z</cp:lastPrinted>
  <dcterms:created xsi:type="dcterms:W3CDTF">2015-01-21T16:20:00Z</dcterms:created>
  <dcterms:modified xsi:type="dcterms:W3CDTF">2015-05-08T13:29:00Z</dcterms:modified>
</cp:coreProperties>
</file>